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8B" w:rsidRPr="00FB2DE1" w:rsidRDefault="00BC428B" w:rsidP="00FB2DE1">
      <w:pPr>
        <w:shd w:val="clear" w:color="auto" w:fill="FFFFFF"/>
        <w:adjustRightInd/>
        <w:snapToGrid/>
        <w:spacing w:after="0" w:line="600" w:lineRule="exact"/>
        <w:jc w:val="center"/>
        <w:rPr>
          <w:rFonts w:ascii="黑体" w:eastAsia="黑体" w:hAnsi="黑体" w:cs="Tahoma" w:hint="eastAsia"/>
          <w:b/>
          <w:color w:val="282828"/>
          <w:sz w:val="36"/>
          <w:szCs w:val="36"/>
        </w:rPr>
      </w:pPr>
      <w:r w:rsidRPr="00FB2DE1">
        <w:rPr>
          <w:rFonts w:ascii="黑体" w:eastAsia="黑体" w:hAnsi="黑体" w:cs="Tahoma" w:hint="eastAsia"/>
          <w:b/>
          <w:color w:val="282828"/>
          <w:sz w:val="36"/>
          <w:szCs w:val="36"/>
        </w:rPr>
        <w:t>关于进一步加强防范非法集资有关工作的通知</w:t>
      </w:r>
    </w:p>
    <w:p w:rsidR="00BC428B" w:rsidRPr="00B6664B" w:rsidRDefault="00BC428B" w:rsidP="00B6664B">
      <w:pPr>
        <w:shd w:val="clear" w:color="auto" w:fill="FFFFFF"/>
        <w:adjustRightInd/>
        <w:snapToGrid/>
        <w:spacing w:after="0" w:line="600" w:lineRule="exact"/>
        <w:rPr>
          <w:rFonts w:ascii="仿宋" w:eastAsia="仿宋" w:hAnsi="仿宋" w:cs="Segoe UI" w:hint="eastAsia"/>
          <w:color w:val="000000"/>
          <w:sz w:val="32"/>
          <w:szCs w:val="32"/>
        </w:rPr>
      </w:pPr>
      <w:r w:rsidRPr="00B6664B">
        <w:rPr>
          <w:rFonts w:ascii="仿宋" w:eastAsia="仿宋" w:hAnsi="仿宋" w:cs="Tahoma" w:hint="eastAsia"/>
          <w:color w:val="282828"/>
          <w:sz w:val="32"/>
          <w:szCs w:val="32"/>
        </w:rPr>
        <w:t>各学院、处室：</w:t>
      </w:r>
    </w:p>
    <w:p w:rsidR="00BC428B" w:rsidRPr="00B6664B" w:rsidRDefault="00BC428B" w:rsidP="00FB2DE1">
      <w:pPr>
        <w:shd w:val="clear" w:color="auto" w:fill="FFFFFF"/>
        <w:adjustRightInd/>
        <w:snapToGrid/>
        <w:spacing w:after="0" w:line="600" w:lineRule="exact"/>
        <w:ind w:firstLineChars="200" w:firstLine="640"/>
        <w:rPr>
          <w:rFonts w:ascii="仿宋" w:eastAsia="仿宋" w:hAnsi="仿宋" w:cs="Tahoma"/>
          <w:color w:val="333333"/>
          <w:sz w:val="32"/>
          <w:szCs w:val="32"/>
        </w:rPr>
      </w:pPr>
      <w:r w:rsidRPr="00B6664B">
        <w:rPr>
          <w:rFonts w:ascii="仿宋" w:eastAsia="仿宋" w:hAnsi="仿宋" w:cs="Segoe UI" w:hint="eastAsia"/>
          <w:color w:val="000000"/>
          <w:sz w:val="32"/>
          <w:szCs w:val="32"/>
        </w:rPr>
        <w:t>为有效防范师生参与非法集资活动，根据省教育厅《关于进一步加强防范非法集资有关工作的通知》（鲁教财函〔2018〕27号）精神，结合学校实际 ，现就进一步加强防范非法集资有关工作通知如下：</w:t>
      </w:r>
    </w:p>
    <w:p w:rsidR="00BC428B" w:rsidRPr="00B6664B" w:rsidRDefault="00BC428B" w:rsidP="00B6664B">
      <w:pPr>
        <w:shd w:val="clear" w:color="auto" w:fill="FFFFFF"/>
        <w:adjustRightInd/>
        <w:snapToGrid/>
        <w:spacing w:after="0" w:line="600" w:lineRule="exact"/>
        <w:ind w:firstLine="630"/>
        <w:rPr>
          <w:rFonts w:ascii="仿宋" w:eastAsia="仿宋" w:hAnsi="仿宋" w:cs="Tahoma" w:hint="eastAsia"/>
          <w:color w:val="333333"/>
          <w:sz w:val="32"/>
          <w:szCs w:val="32"/>
        </w:rPr>
      </w:pPr>
      <w:r w:rsidRPr="00B6664B">
        <w:rPr>
          <w:rFonts w:ascii="仿宋" w:eastAsia="仿宋" w:hAnsi="仿宋" w:cs="Segoe UI" w:hint="eastAsia"/>
          <w:color w:val="000000"/>
          <w:sz w:val="32"/>
          <w:szCs w:val="32"/>
        </w:rPr>
        <w:t>一、加强日常监控，完善风险防范机制。各单位要定期开展涉嫌非法集资广告资讯信息排查清理活动，针对校内微信微博、广播、校刊、短信平台、等媒体载体，全面清理为非法集资活动宣传造势的广告资讯信息，对发现的非法集资线索、违法广告要及时移送学校当地</w:t>
      </w:r>
      <w:r w:rsidR="00FB2DE1">
        <w:rPr>
          <w:rFonts w:ascii="仿宋" w:eastAsia="仿宋" w:hAnsi="仿宋" w:cs="Segoe UI" w:hint="eastAsia"/>
          <w:color w:val="000000"/>
          <w:sz w:val="32"/>
          <w:szCs w:val="32"/>
        </w:rPr>
        <w:t>处非办、</w:t>
      </w:r>
      <w:r w:rsidRPr="00B6664B">
        <w:rPr>
          <w:rFonts w:ascii="仿宋" w:eastAsia="仿宋" w:hAnsi="仿宋" w:cs="Segoe UI" w:hint="eastAsia"/>
          <w:color w:val="000000"/>
          <w:sz w:val="32"/>
          <w:szCs w:val="32"/>
        </w:rPr>
        <w:t>工商、公安等部门处理。各有关部门要加强校园秩序管理，严禁任何人、任何组织通过任何形式在校园内推介非法集资活动。各学院在学生中要定期开展非法集资活动排查，密切关注非法集资入侵校园的形式，警惕通过课堂、传单、微信朋友圈、微博、信息推送、熟人推荐等形式吸引学生参与非法集资活动。畅通校园非法集资举报渠道，鼓励广大师生积极举报非法集资行为，参与线索调查处理，做到早发现、早预防、早处置。</w:t>
      </w:r>
    </w:p>
    <w:p w:rsidR="00BC428B" w:rsidRPr="00B6664B" w:rsidRDefault="00BC428B" w:rsidP="00B6664B">
      <w:pPr>
        <w:shd w:val="clear" w:color="auto" w:fill="FFFFFF"/>
        <w:adjustRightInd/>
        <w:snapToGrid/>
        <w:spacing w:after="0" w:line="600" w:lineRule="exact"/>
        <w:ind w:firstLine="630"/>
        <w:rPr>
          <w:rFonts w:ascii="仿宋" w:eastAsia="仿宋" w:hAnsi="仿宋" w:cs="Tahoma"/>
          <w:color w:val="333333"/>
          <w:sz w:val="32"/>
          <w:szCs w:val="32"/>
        </w:rPr>
      </w:pPr>
      <w:r w:rsidRPr="00B6664B">
        <w:rPr>
          <w:rFonts w:ascii="仿宋" w:eastAsia="仿宋" w:hAnsi="仿宋" w:cs="Segoe UI" w:hint="eastAsia"/>
          <w:color w:val="000000"/>
          <w:sz w:val="32"/>
          <w:szCs w:val="32"/>
        </w:rPr>
        <w:t>二、加强宣传教育，提高风险防范意识。各单位要充分利用课堂、校园广播、宣传栏、校园网、微信等形式，在师生中集中开展防范非法集资宣传教育活动，教育引导广大师生树立合理的理财观念，提高广大师生对非法集资风险的防范意识，</w:t>
      </w:r>
      <w:r w:rsidRPr="00B6664B">
        <w:rPr>
          <w:rFonts w:ascii="仿宋" w:eastAsia="仿宋" w:hAnsi="仿宋" w:cs="Segoe UI" w:hint="eastAsia"/>
          <w:color w:val="000000"/>
          <w:sz w:val="32"/>
          <w:szCs w:val="32"/>
        </w:rPr>
        <w:lastRenderedPageBreak/>
        <w:t>使广大师生牢固树立“高收益必然伴随高风险”“参与非法集资风险自担、责任自负”的意识，引导师生绝不参与非法集资活动。</w:t>
      </w:r>
    </w:p>
    <w:p w:rsidR="00BC428B" w:rsidRPr="00B6664B" w:rsidRDefault="00BC428B" w:rsidP="00B6664B">
      <w:pPr>
        <w:shd w:val="clear" w:color="auto" w:fill="FFFFFF"/>
        <w:adjustRightInd/>
        <w:snapToGrid/>
        <w:spacing w:after="0" w:line="600" w:lineRule="exact"/>
        <w:ind w:firstLine="630"/>
        <w:rPr>
          <w:rFonts w:ascii="仿宋" w:eastAsia="仿宋" w:hAnsi="仿宋" w:cs="Tahoma"/>
          <w:color w:val="333333"/>
          <w:sz w:val="32"/>
          <w:szCs w:val="32"/>
        </w:rPr>
      </w:pPr>
      <w:r w:rsidRPr="00B6664B">
        <w:rPr>
          <w:rFonts w:ascii="仿宋" w:eastAsia="仿宋" w:hAnsi="仿宋" w:cs="Segoe UI" w:hint="eastAsia"/>
          <w:color w:val="000000"/>
          <w:sz w:val="32"/>
          <w:szCs w:val="32"/>
        </w:rPr>
        <w:t>三、加强沟通协调，确保校园安全稳定。各有关部门、各学院要积极配合政府有关部门，做好教育领域防范和处置非法集资的风险排查、监测预警、案件查处、善后处置、维护稳定等工作。对已参与非法集资活动的师生，要做好解释安抚、维稳化解工作，加强安全防范，避免事态扩大。</w:t>
      </w:r>
    </w:p>
    <w:p w:rsidR="00BC428B" w:rsidRPr="00B6664B" w:rsidRDefault="00BC428B" w:rsidP="00B6664B">
      <w:pPr>
        <w:shd w:val="clear" w:color="auto" w:fill="FFFFFF"/>
        <w:adjustRightInd/>
        <w:snapToGrid/>
        <w:spacing w:after="0" w:line="600" w:lineRule="exact"/>
        <w:ind w:firstLine="645"/>
        <w:rPr>
          <w:rFonts w:ascii="仿宋" w:eastAsia="仿宋" w:hAnsi="仿宋" w:cs="Tahoma"/>
          <w:color w:val="333333"/>
          <w:sz w:val="32"/>
          <w:szCs w:val="32"/>
        </w:rPr>
      </w:pPr>
      <w:r w:rsidRPr="00B6664B">
        <w:rPr>
          <w:rFonts w:ascii="仿宋" w:eastAsia="仿宋" w:hAnsi="仿宋" w:cs="Segoe UI" w:hint="eastAsia"/>
          <w:color w:val="000000"/>
          <w:sz w:val="32"/>
          <w:szCs w:val="32"/>
        </w:rPr>
        <w:t>学院办公室、安全保卫处、学生处、财务处、各学院等部门要在各自门户网站设置“防范非法集资”宣传专栏；各学院要组织学生收看“做好防范非法集资公益广告片”（</w:t>
      </w:r>
      <w:r w:rsidR="00B6664B" w:rsidRPr="00B6664B">
        <w:rPr>
          <w:rFonts w:ascii="仿宋" w:eastAsia="仿宋" w:hAnsi="仿宋" w:cs="Segoe UI" w:hint="eastAsia"/>
          <w:color w:val="000000"/>
          <w:sz w:val="32"/>
          <w:szCs w:val="32"/>
        </w:rPr>
        <w:t>可登陆百度网盘自行下载。</w:t>
      </w:r>
      <w:r w:rsidRPr="00B6664B">
        <w:rPr>
          <w:rFonts w:ascii="仿宋" w:eastAsia="仿宋" w:hAnsi="仿宋" w:cs="Segoe UI" w:hint="eastAsia"/>
          <w:color w:val="000000"/>
          <w:sz w:val="32"/>
          <w:szCs w:val="32"/>
        </w:rPr>
        <w:t>下载链接为</w:t>
      </w:r>
      <w:hyperlink r:id="rId4" w:history="1">
        <w:r w:rsidR="00FB2DE1" w:rsidRPr="001B1870">
          <w:rPr>
            <w:rStyle w:val="a3"/>
            <w:rFonts w:ascii="仿宋" w:eastAsia="仿宋" w:hAnsi="仿宋" w:cs="Segoe UI" w:hint="eastAsia"/>
            <w:sz w:val="32"/>
            <w:szCs w:val="32"/>
          </w:rPr>
          <w:t>https://pan.baidu.com/s/1T-pkikJ57PgQHdqSYWt57g</w:t>
        </w:r>
      </w:hyperlink>
      <w:r w:rsidR="00B6664B" w:rsidRPr="00B6664B">
        <w:rPr>
          <w:rFonts w:ascii="仿宋" w:eastAsia="仿宋" w:hAnsi="仿宋" w:cs="Segoe UI" w:hint="eastAsia"/>
          <w:color w:val="333333"/>
          <w:sz w:val="32"/>
          <w:szCs w:val="32"/>
        </w:rPr>
        <w:t>。</w:t>
      </w:r>
      <w:r w:rsidR="00B6664B" w:rsidRPr="00B6664B">
        <w:rPr>
          <w:rFonts w:ascii="仿宋" w:eastAsia="仿宋" w:hAnsi="仿宋" w:cs="Segoe UI" w:hint="eastAsia"/>
          <w:color w:val="000000"/>
          <w:sz w:val="32"/>
          <w:szCs w:val="32"/>
        </w:rPr>
        <w:t>提取密码：a2y8</w:t>
      </w:r>
      <w:r w:rsidRPr="00B6664B">
        <w:rPr>
          <w:rFonts w:ascii="仿宋" w:eastAsia="仿宋" w:hAnsi="仿宋" w:cs="Segoe UI" w:hint="eastAsia"/>
          <w:color w:val="000000"/>
          <w:sz w:val="32"/>
          <w:szCs w:val="32"/>
        </w:rPr>
        <w:t>）。同时，各单位特别是各学院要参照处置非法集资部际联席会议办公室编写的《防范非法集资宣传教育参考提纲》（见附件），在师生中广泛开展宣传教育工作。</w:t>
      </w:r>
    </w:p>
    <w:p w:rsidR="00FB2DE1" w:rsidRDefault="00FB2DE1" w:rsidP="00B6664B">
      <w:pPr>
        <w:shd w:val="clear" w:color="auto" w:fill="FFFFFF"/>
        <w:adjustRightInd/>
        <w:snapToGrid/>
        <w:spacing w:after="0" w:line="600" w:lineRule="exact"/>
        <w:rPr>
          <w:rFonts w:ascii="仿宋" w:eastAsia="仿宋" w:hAnsi="仿宋" w:cs="Segoe UI" w:hint="eastAsia"/>
          <w:color w:val="000000"/>
          <w:sz w:val="32"/>
          <w:szCs w:val="32"/>
        </w:rPr>
      </w:pPr>
    </w:p>
    <w:p w:rsidR="00FB2DE1" w:rsidRDefault="00FB2DE1" w:rsidP="00B6664B">
      <w:pPr>
        <w:shd w:val="clear" w:color="auto" w:fill="FFFFFF"/>
        <w:adjustRightInd/>
        <w:snapToGrid/>
        <w:spacing w:after="0" w:line="600" w:lineRule="exact"/>
        <w:rPr>
          <w:rFonts w:ascii="仿宋" w:eastAsia="仿宋" w:hAnsi="仿宋" w:cs="Segoe UI" w:hint="eastAsia"/>
          <w:color w:val="000000"/>
          <w:sz w:val="32"/>
          <w:szCs w:val="32"/>
        </w:rPr>
      </w:pPr>
    </w:p>
    <w:p w:rsidR="00FB2DE1" w:rsidRDefault="00FB2DE1" w:rsidP="00B6664B">
      <w:pPr>
        <w:shd w:val="clear" w:color="auto" w:fill="FFFFFF"/>
        <w:adjustRightInd/>
        <w:snapToGrid/>
        <w:spacing w:after="0" w:line="600" w:lineRule="exact"/>
        <w:rPr>
          <w:rFonts w:ascii="仿宋" w:eastAsia="仿宋" w:hAnsi="仿宋" w:cs="Segoe UI" w:hint="eastAsia"/>
          <w:color w:val="000000"/>
          <w:sz w:val="32"/>
          <w:szCs w:val="32"/>
        </w:rPr>
      </w:pPr>
    </w:p>
    <w:p w:rsidR="00FB2DE1" w:rsidRDefault="00FB2DE1" w:rsidP="00B6664B">
      <w:pPr>
        <w:shd w:val="clear" w:color="auto" w:fill="FFFFFF"/>
        <w:adjustRightInd/>
        <w:snapToGrid/>
        <w:spacing w:after="0" w:line="600" w:lineRule="exact"/>
        <w:rPr>
          <w:rFonts w:ascii="仿宋" w:eastAsia="仿宋" w:hAnsi="仿宋" w:cs="Segoe UI" w:hint="eastAsia"/>
          <w:color w:val="000000"/>
          <w:sz w:val="32"/>
          <w:szCs w:val="32"/>
        </w:rPr>
      </w:pPr>
    </w:p>
    <w:p w:rsidR="00FB2DE1" w:rsidRDefault="00FB2DE1" w:rsidP="00B6664B">
      <w:pPr>
        <w:shd w:val="clear" w:color="auto" w:fill="FFFFFF"/>
        <w:adjustRightInd/>
        <w:snapToGrid/>
        <w:spacing w:after="0" w:line="600" w:lineRule="exact"/>
        <w:rPr>
          <w:rFonts w:ascii="仿宋" w:eastAsia="仿宋" w:hAnsi="仿宋" w:cs="Segoe UI" w:hint="eastAsia"/>
          <w:color w:val="000000"/>
          <w:sz w:val="32"/>
          <w:szCs w:val="32"/>
        </w:rPr>
      </w:pPr>
    </w:p>
    <w:p w:rsidR="00FB2DE1" w:rsidRDefault="00FB2DE1" w:rsidP="00B6664B">
      <w:pPr>
        <w:shd w:val="clear" w:color="auto" w:fill="FFFFFF"/>
        <w:adjustRightInd/>
        <w:snapToGrid/>
        <w:spacing w:after="0" w:line="600" w:lineRule="exact"/>
        <w:rPr>
          <w:rFonts w:ascii="仿宋" w:eastAsia="仿宋" w:hAnsi="仿宋" w:cs="Segoe UI" w:hint="eastAsia"/>
          <w:color w:val="000000"/>
          <w:sz w:val="32"/>
          <w:szCs w:val="32"/>
        </w:rPr>
      </w:pPr>
    </w:p>
    <w:p w:rsidR="00BC428B" w:rsidRPr="00B6664B" w:rsidRDefault="00BC428B" w:rsidP="00B6664B">
      <w:pPr>
        <w:shd w:val="clear" w:color="auto" w:fill="FFFFFF"/>
        <w:adjustRightInd/>
        <w:snapToGrid/>
        <w:spacing w:after="0" w:line="600" w:lineRule="exact"/>
        <w:rPr>
          <w:rFonts w:ascii="仿宋" w:eastAsia="仿宋" w:hAnsi="仿宋" w:cs="Tahoma"/>
          <w:color w:val="333333"/>
          <w:sz w:val="32"/>
          <w:szCs w:val="32"/>
        </w:rPr>
      </w:pPr>
      <w:r w:rsidRPr="00B6664B">
        <w:rPr>
          <w:rFonts w:ascii="仿宋" w:eastAsia="仿宋" w:hAnsi="仿宋" w:cs="Segoe UI" w:hint="eastAsia"/>
          <w:color w:val="000000"/>
          <w:sz w:val="32"/>
          <w:szCs w:val="32"/>
        </w:rPr>
        <w:lastRenderedPageBreak/>
        <w:t>附件：</w:t>
      </w:r>
    </w:p>
    <w:p w:rsidR="00FB2DE1" w:rsidRPr="00FB2DE1" w:rsidRDefault="00FB2DE1" w:rsidP="00FB2DE1">
      <w:pPr>
        <w:shd w:val="clear" w:color="auto" w:fill="FFFFFF"/>
        <w:adjustRightInd/>
        <w:snapToGrid/>
        <w:spacing w:after="0" w:line="600" w:lineRule="exact"/>
        <w:jc w:val="center"/>
        <w:rPr>
          <w:rFonts w:ascii="仿宋" w:eastAsia="仿宋" w:hAnsi="仿宋" w:cs="Tahoma"/>
          <w:b/>
          <w:color w:val="333333"/>
          <w:sz w:val="36"/>
          <w:szCs w:val="36"/>
        </w:rPr>
      </w:pPr>
      <w:r w:rsidRPr="00FB2DE1">
        <w:rPr>
          <w:rFonts w:ascii="仿宋" w:eastAsia="仿宋" w:hAnsi="仿宋" w:cs="Segoe UI"/>
          <w:b/>
          <w:color w:val="000000"/>
          <w:sz w:val="36"/>
          <w:szCs w:val="36"/>
        </w:rPr>
        <w:t>防范非法集资宣传教育参考提纲</w:t>
      </w:r>
    </w:p>
    <w:p w:rsidR="00FB2DE1" w:rsidRPr="00FB2DE1" w:rsidRDefault="00FB2DE1" w:rsidP="00FB2DE1">
      <w:pPr>
        <w:shd w:val="clear" w:color="auto" w:fill="FFFFFF"/>
        <w:adjustRightInd/>
        <w:snapToGrid/>
        <w:spacing w:after="0" w:line="600" w:lineRule="exact"/>
        <w:ind w:hanging="420"/>
        <w:rPr>
          <w:rFonts w:ascii="仿宋" w:eastAsia="仿宋" w:hAnsi="仿宋" w:cs="Tahoma"/>
          <w:color w:val="333333"/>
          <w:sz w:val="32"/>
          <w:szCs w:val="32"/>
        </w:rPr>
      </w:pPr>
      <w:r w:rsidRPr="00FB2DE1">
        <w:rPr>
          <w:rFonts w:ascii="仿宋" w:eastAsia="仿宋" w:hAnsi="仿宋" w:cs="Segoe UI"/>
          <w:color w:val="000000"/>
          <w:sz w:val="32"/>
          <w:szCs w:val="32"/>
        </w:rPr>
        <w:t xml:space="preserve">一、非法集资的定义、危害及主要手法等 </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b/>
          <w:bCs/>
          <w:color w:val="000000"/>
          <w:sz w:val="32"/>
          <w:szCs w:val="32"/>
        </w:rPr>
        <w:t>（一）非法集资的定义和基本特征</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根据《最高人民法院关于审理非法集资刑事案件具体应用法律若干问题的解释》（法释〔</w:t>
      </w:r>
      <w:r w:rsidRPr="00FB2DE1">
        <w:rPr>
          <w:rFonts w:ascii="仿宋" w:eastAsia="仿宋" w:hAnsi="仿宋" w:cs="Segoe UI" w:hint="eastAsia"/>
          <w:color w:val="000000"/>
          <w:sz w:val="32"/>
          <w:szCs w:val="32"/>
        </w:rPr>
        <w:t>2010</w:t>
      </w:r>
      <w:r w:rsidRPr="00FB2DE1">
        <w:rPr>
          <w:rFonts w:ascii="仿宋" w:eastAsia="仿宋" w:hAnsi="仿宋" w:cs="Segoe UI"/>
          <w:color w:val="000000"/>
          <w:sz w:val="32"/>
          <w:szCs w:val="32"/>
        </w:rPr>
        <w:t>〕</w:t>
      </w:r>
      <w:r w:rsidRPr="00FB2DE1">
        <w:rPr>
          <w:rFonts w:ascii="仿宋" w:eastAsia="仿宋" w:hAnsi="仿宋" w:cs="Segoe UI" w:hint="eastAsia"/>
          <w:color w:val="000000"/>
          <w:sz w:val="32"/>
          <w:szCs w:val="32"/>
        </w:rPr>
        <w:t>18</w:t>
      </w:r>
      <w:r w:rsidRPr="00FB2DE1">
        <w:rPr>
          <w:rFonts w:ascii="仿宋" w:eastAsia="仿宋" w:hAnsi="仿宋" w:cs="Segoe UI"/>
          <w:color w:val="000000"/>
          <w:sz w:val="32"/>
          <w:szCs w:val="32"/>
        </w:rPr>
        <w:t>号），非法集资是违反国家金融管理法律规定，向社会公众（包括单位和个人）吸收资金的行为。非法集资行为需同时具备非法性、公开性、利诱性、社会性四个特征要件，具体为：一是未经有关部门依法批准或者借用合法经营的形式吸收资金；二是通过媒体、推介会、传单、手机短信等途径向社会公开宣传；三是承诺在一定期限内以货币、实物、股权等方式还本付息或者给付回报；四是向社会公众即社会不特定对象吸收资金。</w:t>
      </w:r>
    </w:p>
    <w:p w:rsidR="00FB2DE1" w:rsidRPr="00FB2DE1" w:rsidRDefault="00FB2DE1" w:rsidP="00FB2DE1">
      <w:pPr>
        <w:shd w:val="clear" w:color="auto" w:fill="FFFFFF"/>
        <w:adjustRightInd/>
        <w:snapToGrid/>
        <w:spacing w:after="0" w:line="600" w:lineRule="exact"/>
        <w:ind w:firstLineChars="144" w:firstLine="463"/>
        <w:rPr>
          <w:rFonts w:ascii="仿宋" w:eastAsia="仿宋" w:hAnsi="仿宋" w:cs="Tahoma"/>
          <w:color w:val="333333"/>
          <w:sz w:val="32"/>
          <w:szCs w:val="32"/>
        </w:rPr>
      </w:pPr>
      <w:r w:rsidRPr="00FB2DE1">
        <w:rPr>
          <w:rFonts w:ascii="仿宋" w:eastAsia="仿宋" w:hAnsi="仿宋" w:cs="Segoe UI"/>
          <w:b/>
          <w:bCs/>
          <w:color w:val="000000"/>
          <w:sz w:val="32"/>
          <w:szCs w:val="32"/>
        </w:rPr>
        <w:t>（二）非法集资的危害和损失承担</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非法集资不可持续，犯罪分子通过欺骗手段聚集资金后，挥霍、浪费、转移或者非法占有，参与者很难收回资金，此外，非法集资严重干扰正常的经济、金融秩序，极易引发社会风险。</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根据我国相关法律法规规定，非法集资不受法律保护，参与非法集资风险自担。</w:t>
      </w:r>
    </w:p>
    <w:p w:rsidR="00FB2DE1" w:rsidRPr="00FB2DE1" w:rsidRDefault="00FB2DE1" w:rsidP="00FB2DE1">
      <w:pPr>
        <w:shd w:val="clear" w:color="auto" w:fill="FFFFFF"/>
        <w:adjustRightInd/>
        <w:snapToGrid/>
        <w:spacing w:after="0" w:line="600" w:lineRule="exact"/>
        <w:ind w:firstLineChars="150" w:firstLine="482"/>
        <w:rPr>
          <w:rFonts w:ascii="仿宋" w:eastAsia="仿宋" w:hAnsi="仿宋" w:cs="Tahoma"/>
          <w:color w:val="333333"/>
          <w:sz w:val="32"/>
          <w:szCs w:val="32"/>
        </w:rPr>
      </w:pPr>
      <w:r w:rsidRPr="00FB2DE1">
        <w:rPr>
          <w:rFonts w:ascii="仿宋" w:eastAsia="仿宋" w:hAnsi="仿宋" w:cs="Segoe UI"/>
          <w:b/>
          <w:bCs/>
          <w:color w:val="000000"/>
          <w:sz w:val="32"/>
          <w:szCs w:val="32"/>
        </w:rPr>
        <w:t>（三）非法集资人的法律责任</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我国《刑法》中，非法集资根据主观态度、行为方式、危害结果等具体情况的不同，构成相应的罪名，其中最主要的是</w:t>
      </w:r>
      <w:r w:rsidRPr="00FB2DE1">
        <w:rPr>
          <w:rFonts w:ascii="仿宋" w:eastAsia="仿宋" w:hAnsi="仿宋" w:cs="Segoe UI"/>
          <w:color w:val="000000"/>
          <w:sz w:val="32"/>
          <w:szCs w:val="32"/>
        </w:rPr>
        <w:lastRenderedPageBreak/>
        <w:t>《刑法》中第</w:t>
      </w:r>
      <w:r w:rsidRPr="00FB2DE1">
        <w:rPr>
          <w:rFonts w:ascii="仿宋" w:eastAsia="仿宋" w:hAnsi="仿宋" w:cs="Segoe UI" w:hint="eastAsia"/>
          <w:color w:val="000000"/>
          <w:sz w:val="32"/>
          <w:szCs w:val="32"/>
        </w:rPr>
        <w:t>176</w:t>
      </w:r>
      <w:r w:rsidRPr="00FB2DE1">
        <w:rPr>
          <w:rFonts w:ascii="仿宋" w:eastAsia="仿宋" w:hAnsi="仿宋" w:cs="Segoe UI"/>
          <w:color w:val="000000"/>
          <w:sz w:val="32"/>
          <w:szCs w:val="32"/>
        </w:rPr>
        <w:t>条非法吸收公众存款罪和第</w:t>
      </w:r>
      <w:r w:rsidRPr="00FB2DE1">
        <w:rPr>
          <w:rFonts w:ascii="仿宋" w:eastAsia="仿宋" w:hAnsi="仿宋" w:cs="Segoe UI" w:hint="eastAsia"/>
          <w:color w:val="000000"/>
          <w:sz w:val="32"/>
          <w:szCs w:val="32"/>
        </w:rPr>
        <w:t>192</w:t>
      </w:r>
      <w:r w:rsidRPr="00FB2DE1">
        <w:rPr>
          <w:rFonts w:ascii="仿宋" w:eastAsia="仿宋" w:hAnsi="仿宋" w:cs="Segoe UI"/>
          <w:color w:val="000000"/>
          <w:sz w:val="32"/>
          <w:szCs w:val="32"/>
        </w:rPr>
        <w:t>条集资诈骗罪。</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刑法》规定，犯非法吸收公众存款罪的，处三年以下有期徒刑或者拘役，并处或者单处二万元以上二十万元以下罚金；数额巨大或者有其他严重情节的，处三年以上十年以下有期徒刑，并处五万元以上五十万元以下罚金。犯集资诈骗罪，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FB2DE1" w:rsidRPr="00FB2DE1" w:rsidRDefault="00FB2DE1" w:rsidP="00FB2DE1">
      <w:pPr>
        <w:shd w:val="clear" w:color="auto" w:fill="FFFFFF"/>
        <w:adjustRightInd/>
        <w:snapToGrid/>
        <w:spacing w:after="0" w:line="600" w:lineRule="exact"/>
        <w:ind w:firstLineChars="200" w:firstLine="643"/>
        <w:rPr>
          <w:rFonts w:ascii="仿宋" w:eastAsia="仿宋" w:hAnsi="仿宋" w:cs="Tahoma"/>
          <w:color w:val="333333"/>
          <w:sz w:val="32"/>
          <w:szCs w:val="32"/>
        </w:rPr>
      </w:pPr>
      <w:r w:rsidRPr="00FB2DE1">
        <w:rPr>
          <w:rFonts w:ascii="仿宋" w:eastAsia="仿宋" w:hAnsi="仿宋" w:cs="Segoe UI"/>
          <w:b/>
          <w:bCs/>
          <w:color w:val="000000"/>
          <w:sz w:val="32"/>
          <w:szCs w:val="32"/>
        </w:rPr>
        <w:t>（四）非法集资的常见手段</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一是承诺高额回报。不法分子编造</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天上掉馅饼</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一夜成富翁</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的神话，许诺投资者高额回报。为了骗取更多的人参与集资，非法集资人在集资初期往往按时足额兑现承诺本息，待集资达到一定规模后，便秘密转移资金或携款潜逃，使集资参与人遭受经济损失。</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二是编造虚假项目。不法分子大多通过注册合法的公司或企业，打着响应国家产业政策、开展创业创新等幌子，编造各种虚假项目，有的甚至组织免费旅游、考察等，骗取社会公众信任。</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lastRenderedPageBreak/>
        <w:t>三是以虚假宣传造势。不法分子在宣传上往往一掷千金，聘请明星代言、名人站台，在各大广播电视、网络等媒体发布广告、在著名报刊上刊登专访文章、雇人广为散发宣传单、进行社会捐赠等方式，制造虚假声势。</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四是利用亲情诱骗。有些类传销非法集资的参与人，为了完成或增加自己的业绩，不惜利用亲情、地缘关系，编造自己获得高额回报的谎言，拉拢亲朋、同学或邻居加入，使参与人员迅速蔓延，集资规模不断扩大。</w:t>
      </w:r>
    </w:p>
    <w:p w:rsidR="00FB2DE1" w:rsidRPr="00FB2DE1" w:rsidRDefault="00FB2DE1" w:rsidP="00FB2DE1">
      <w:pPr>
        <w:shd w:val="clear" w:color="auto" w:fill="FFFFFF"/>
        <w:adjustRightInd/>
        <w:snapToGrid/>
        <w:spacing w:after="0" w:line="600" w:lineRule="exact"/>
        <w:rPr>
          <w:rFonts w:ascii="仿宋" w:eastAsia="仿宋" w:hAnsi="仿宋" w:cs="Tahoma"/>
          <w:color w:val="333333"/>
          <w:sz w:val="32"/>
          <w:szCs w:val="32"/>
        </w:rPr>
      </w:pPr>
      <w:r w:rsidRPr="00FB2DE1">
        <w:rPr>
          <w:rFonts w:ascii="仿宋" w:eastAsia="仿宋" w:hAnsi="仿宋" w:cs="Segoe UI"/>
          <w:color w:val="000000"/>
          <w:sz w:val="32"/>
          <w:szCs w:val="32"/>
        </w:rPr>
        <w:t xml:space="preserve">二、识别防范非法集资宣传重点 </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hint="eastAsia"/>
          <w:color w:val="000000"/>
          <w:sz w:val="32"/>
          <w:szCs w:val="32"/>
        </w:rPr>
        <w:t>1.</w:t>
      </w:r>
      <w:r w:rsidRPr="00FB2DE1">
        <w:rPr>
          <w:rFonts w:ascii="仿宋" w:eastAsia="仿宋" w:hAnsi="仿宋" w:cs="Segoe UI"/>
          <w:color w:val="000000"/>
          <w:sz w:val="32"/>
          <w:szCs w:val="32"/>
        </w:rPr>
        <w:t>向公众宣传银行业金融机构、保险机构的官方网站、客户服务电话等正规服务渠道，告知群众查询银行正规理财产品的途径和方法、购买保险产品、查询保单真伪、获取保单服务的正确途径和方法等。</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hint="eastAsia"/>
          <w:color w:val="000000"/>
          <w:sz w:val="32"/>
          <w:szCs w:val="32"/>
        </w:rPr>
        <w:t>2.</w:t>
      </w:r>
      <w:r w:rsidRPr="00FB2DE1">
        <w:rPr>
          <w:rFonts w:ascii="仿宋" w:eastAsia="仿宋" w:hAnsi="仿宋" w:cs="Segoe UI"/>
          <w:color w:val="000000"/>
          <w:sz w:val="32"/>
          <w:szCs w:val="32"/>
        </w:rPr>
        <w:t>向公众宣传银行员工行为规范、保险销售行为规范等，提示公众不与银行、保险从业人员个人签订投资理财协议，不接收从业人员个人出具的任何收据、欠条。告知非法集资及有关违规行为举报投诉方式，鼓励社会公众及时举报非法集资线索。</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hint="eastAsia"/>
          <w:color w:val="000000"/>
          <w:sz w:val="32"/>
          <w:szCs w:val="32"/>
        </w:rPr>
        <w:t>3.</w:t>
      </w:r>
      <w:r w:rsidRPr="00FB2DE1">
        <w:rPr>
          <w:rFonts w:ascii="仿宋" w:eastAsia="仿宋" w:hAnsi="仿宋" w:cs="Segoe UI"/>
          <w:color w:val="000000"/>
          <w:sz w:val="32"/>
          <w:szCs w:val="32"/>
        </w:rPr>
        <w:t>提示社会公众不要轻易相信所谓的高息</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保险</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、高息</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理财</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，不被小礼品打动，不接收</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先返息</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之类的诱饵。通过正规渠道购买金融产品，购买保险过程中要尽量做到</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三查、两配合</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，即通过保险公司网站、客户热线或监管部门、</w:t>
      </w:r>
      <w:r w:rsidRPr="00FB2DE1">
        <w:rPr>
          <w:rFonts w:ascii="仿宋" w:eastAsia="仿宋" w:hAnsi="仿宋" w:cs="Segoe UI"/>
          <w:color w:val="000000"/>
          <w:sz w:val="32"/>
          <w:szCs w:val="32"/>
        </w:rPr>
        <w:lastRenderedPageBreak/>
        <w:t>行业协会网站查人员、查产品、查单证，配合做好转账缴费、配合做好回访。</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hint="eastAsia"/>
          <w:color w:val="000000"/>
          <w:sz w:val="32"/>
          <w:szCs w:val="32"/>
        </w:rPr>
        <w:t>4.</w:t>
      </w:r>
      <w:r w:rsidRPr="00FB2DE1">
        <w:rPr>
          <w:rFonts w:ascii="仿宋" w:eastAsia="仿宋" w:hAnsi="仿宋" w:cs="Segoe UI"/>
          <w:color w:val="000000"/>
          <w:sz w:val="32"/>
          <w:szCs w:val="32"/>
        </w:rPr>
        <w:t>提示社会公众注意保护个人信息，关注正规机构发布的银行、保险广告信息和非法集资风险提示，遇到涉嫌非法集资行为及时举报投诉。</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hint="eastAsia"/>
          <w:color w:val="000000"/>
          <w:sz w:val="32"/>
          <w:szCs w:val="32"/>
        </w:rPr>
        <w:t>5.</w:t>
      </w:r>
      <w:r w:rsidRPr="00FB2DE1">
        <w:rPr>
          <w:rFonts w:ascii="仿宋" w:eastAsia="仿宋" w:hAnsi="仿宋" w:cs="Segoe UI"/>
          <w:color w:val="000000"/>
          <w:sz w:val="32"/>
          <w:szCs w:val="32"/>
        </w:rPr>
        <w:t>提示社会公众，如遇以下情形的</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理财</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保险</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产品，务必提高警惕：</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一是以</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看广告、赚外快</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消费返利</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为幌子的；</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二是以境外投资股权、期权、外汇、贵金属等为幌子的；</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三是以投资养老产业可获高额回报或</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免费</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养老为幌子的；</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四是以私募入股、合伙办企业为幌子，但不办理企业工商注册登记的；</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五是以投资虚拟货币、区块链等为幌子的；</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六是以</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扶贫</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互助</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慈善</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等为幌子的；</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七是在街头、商场、超市等发放广告传单的；</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八是以组织考察、旅游、讲座等方式招揽老年群众的；</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九是</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投资、理财</w:t>
      </w:r>
      <w:r w:rsidRPr="00FB2DE1">
        <w:rPr>
          <w:rFonts w:ascii="仿宋" w:eastAsia="仿宋" w:hAnsi="仿宋" w:cs="Segoe UI" w:hint="eastAsia"/>
          <w:color w:val="000000"/>
          <w:sz w:val="32"/>
          <w:szCs w:val="32"/>
        </w:rPr>
        <w:t>”</w:t>
      </w:r>
      <w:r w:rsidRPr="00FB2DE1">
        <w:rPr>
          <w:rFonts w:ascii="仿宋" w:eastAsia="仿宋" w:hAnsi="仿宋" w:cs="Segoe UI"/>
          <w:color w:val="000000"/>
          <w:sz w:val="32"/>
          <w:szCs w:val="32"/>
        </w:rPr>
        <w:t>公司、网站及服务器在境外的；</w:t>
      </w:r>
    </w:p>
    <w:p w:rsidR="00FB2DE1" w:rsidRPr="00FB2DE1" w:rsidRDefault="00FB2DE1" w:rsidP="00FB2DE1">
      <w:pPr>
        <w:shd w:val="clear" w:color="auto" w:fill="FFFFFF"/>
        <w:adjustRightInd/>
        <w:snapToGrid/>
        <w:spacing w:after="0" w:line="600" w:lineRule="exact"/>
        <w:ind w:firstLine="645"/>
        <w:rPr>
          <w:rFonts w:ascii="仿宋" w:eastAsia="仿宋" w:hAnsi="仿宋" w:cs="Tahoma"/>
          <w:color w:val="333333"/>
          <w:sz w:val="32"/>
          <w:szCs w:val="32"/>
        </w:rPr>
      </w:pPr>
      <w:r w:rsidRPr="00FB2DE1">
        <w:rPr>
          <w:rFonts w:ascii="仿宋" w:eastAsia="仿宋" w:hAnsi="仿宋" w:cs="Segoe UI"/>
          <w:color w:val="000000"/>
          <w:sz w:val="32"/>
          <w:szCs w:val="32"/>
        </w:rPr>
        <w:t>十是要求以现金方式或向个人账户、境外账户缴纳投资款的。</w:t>
      </w:r>
    </w:p>
    <w:p w:rsidR="00BC428B" w:rsidRPr="00FB2DE1" w:rsidRDefault="00B6664B" w:rsidP="00FB2DE1">
      <w:pPr>
        <w:shd w:val="clear" w:color="auto" w:fill="FFFFFF"/>
        <w:adjustRightInd/>
        <w:snapToGrid/>
        <w:spacing w:after="0" w:line="600" w:lineRule="exact"/>
        <w:rPr>
          <w:rFonts w:ascii="仿宋" w:eastAsia="仿宋" w:hAnsi="仿宋" w:cs="Tahoma"/>
          <w:color w:val="333333"/>
          <w:sz w:val="32"/>
          <w:szCs w:val="32"/>
        </w:rPr>
      </w:pPr>
      <w:r w:rsidRPr="00FB2DE1">
        <w:rPr>
          <w:rFonts w:ascii="仿宋" w:eastAsia="仿宋" w:hAnsi="仿宋" w:cs="Segoe UI" w:hint="eastAsia"/>
          <w:color w:val="000000"/>
          <w:sz w:val="32"/>
          <w:szCs w:val="32"/>
        </w:rPr>
        <w:t xml:space="preserve">                       </w:t>
      </w:r>
    </w:p>
    <w:p w:rsidR="00FB2DE1" w:rsidRPr="00FB2DE1" w:rsidRDefault="00FB2DE1">
      <w:pPr>
        <w:spacing w:after="0" w:line="600" w:lineRule="exact"/>
        <w:rPr>
          <w:rFonts w:ascii="仿宋" w:eastAsia="仿宋" w:hAnsi="仿宋"/>
          <w:sz w:val="32"/>
          <w:szCs w:val="32"/>
        </w:rPr>
      </w:pPr>
    </w:p>
    <w:sectPr w:rsidR="00FB2DE1" w:rsidRPr="00FB2DE1" w:rsidSect="00B6664B">
      <w:pgSz w:w="11906" w:h="16838"/>
      <w:pgMar w:top="1701" w:right="1531" w:bottom="1701" w:left="1531"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BC428B"/>
    <w:rsid w:val="00323B43"/>
    <w:rsid w:val="003D37D8"/>
    <w:rsid w:val="004358AB"/>
    <w:rsid w:val="00550337"/>
    <w:rsid w:val="007A2554"/>
    <w:rsid w:val="008B7726"/>
    <w:rsid w:val="00B6664B"/>
    <w:rsid w:val="00BC428B"/>
    <w:rsid w:val="00FB2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8B"/>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28B"/>
    <w:rPr>
      <w:color w:val="0000FF"/>
      <w:u w:val="single"/>
    </w:rPr>
  </w:style>
  <w:style w:type="character" w:styleId="a4">
    <w:name w:val="Strong"/>
    <w:basedOn w:val="a0"/>
    <w:uiPriority w:val="22"/>
    <w:qFormat/>
    <w:rsid w:val="00FB2DE1"/>
    <w:rPr>
      <w:b/>
      <w:bCs/>
    </w:rPr>
  </w:style>
</w:styles>
</file>

<file path=word/webSettings.xml><?xml version="1.0" encoding="utf-8"?>
<w:webSettings xmlns:r="http://schemas.openxmlformats.org/officeDocument/2006/relationships" xmlns:w="http://schemas.openxmlformats.org/wordprocessingml/2006/main">
  <w:divs>
    <w:div w:id="74127845">
      <w:bodyDiv w:val="1"/>
      <w:marLeft w:val="0"/>
      <w:marRight w:val="0"/>
      <w:marTop w:val="0"/>
      <w:marBottom w:val="0"/>
      <w:divBdr>
        <w:top w:val="none" w:sz="0" w:space="0" w:color="auto"/>
        <w:left w:val="none" w:sz="0" w:space="0" w:color="auto"/>
        <w:bottom w:val="none" w:sz="0" w:space="0" w:color="auto"/>
        <w:right w:val="none" w:sz="0" w:space="0" w:color="auto"/>
      </w:divBdr>
    </w:div>
    <w:div w:id="1311590637">
      <w:bodyDiv w:val="1"/>
      <w:marLeft w:val="0"/>
      <w:marRight w:val="0"/>
      <w:marTop w:val="0"/>
      <w:marBottom w:val="0"/>
      <w:divBdr>
        <w:top w:val="none" w:sz="0" w:space="0" w:color="auto"/>
        <w:left w:val="none" w:sz="0" w:space="0" w:color="auto"/>
        <w:bottom w:val="none" w:sz="0" w:space="0" w:color="auto"/>
        <w:right w:val="none" w:sz="0" w:space="0" w:color="auto"/>
      </w:divBdr>
      <w:divsChild>
        <w:div w:id="199050397">
          <w:marLeft w:val="0"/>
          <w:marRight w:val="0"/>
          <w:marTop w:val="0"/>
          <w:marBottom w:val="0"/>
          <w:divBdr>
            <w:top w:val="none" w:sz="0" w:space="0" w:color="auto"/>
            <w:left w:val="none" w:sz="0" w:space="0" w:color="auto"/>
            <w:bottom w:val="none" w:sz="0" w:space="0" w:color="auto"/>
            <w:right w:val="none" w:sz="0" w:space="0" w:color="auto"/>
          </w:divBdr>
          <w:divsChild>
            <w:div w:id="1676878344">
              <w:marLeft w:val="0"/>
              <w:marRight w:val="0"/>
              <w:marTop w:val="0"/>
              <w:marBottom w:val="0"/>
              <w:divBdr>
                <w:top w:val="none" w:sz="0" w:space="0" w:color="auto"/>
                <w:left w:val="none" w:sz="0" w:space="0" w:color="auto"/>
                <w:bottom w:val="none" w:sz="0" w:space="0" w:color="auto"/>
                <w:right w:val="none" w:sz="0" w:space="0" w:color="auto"/>
              </w:divBdr>
              <w:divsChild>
                <w:div w:id="1305231557">
                  <w:marLeft w:val="0"/>
                  <w:marRight w:val="0"/>
                  <w:marTop w:val="0"/>
                  <w:marBottom w:val="0"/>
                  <w:divBdr>
                    <w:top w:val="none" w:sz="0" w:space="0" w:color="auto"/>
                    <w:left w:val="none" w:sz="0" w:space="0" w:color="auto"/>
                    <w:bottom w:val="none" w:sz="0" w:space="0" w:color="auto"/>
                    <w:right w:val="none" w:sz="0" w:space="0" w:color="auto"/>
                  </w:divBdr>
                  <w:divsChild>
                    <w:div w:id="488719233">
                      <w:marLeft w:val="0"/>
                      <w:marRight w:val="0"/>
                      <w:marTop w:val="0"/>
                      <w:marBottom w:val="0"/>
                      <w:divBdr>
                        <w:top w:val="none" w:sz="0" w:space="0" w:color="auto"/>
                        <w:left w:val="none" w:sz="0" w:space="0" w:color="auto"/>
                        <w:bottom w:val="none" w:sz="0" w:space="0" w:color="auto"/>
                        <w:right w:val="none" w:sz="0" w:space="0" w:color="auto"/>
                      </w:divBdr>
                      <w:divsChild>
                        <w:div w:id="472867444">
                          <w:marLeft w:val="0"/>
                          <w:marRight w:val="0"/>
                          <w:marTop w:val="0"/>
                          <w:marBottom w:val="0"/>
                          <w:divBdr>
                            <w:top w:val="none" w:sz="0" w:space="0" w:color="auto"/>
                            <w:left w:val="none" w:sz="0" w:space="0" w:color="auto"/>
                            <w:bottom w:val="none" w:sz="0" w:space="0" w:color="auto"/>
                            <w:right w:val="none" w:sz="0" w:space="0" w:color="auto"/>
                          </w:divBdr>
                          <w:divsChild>
                            <w:div w:id="1480616418">
                              <w:marLeft w:val="0"/>
                              <w:marRight w:val="0"/>
                              <w:marTop w:val="0"/>
                              <w:marBottom w:val="0"/>
                              <w:divBdr>
                                <w:top w:val="none" w:sz="0" w:space="0" w:color="auto"/>
                                <w:left w:val="none" w:sz="0" w:space="0" w:color="auto"/>
                                <w:bottom w:val="none" w:sz="0" w:space="0" w:color="auto"/>
                                <w:right w:val="none" w:sz="0" w:space="0" w:color="auto"/>
                              </w:divBdr>
                              <w:divsChild>
                                <w:div w:id="10661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baidu.com/s/1T-pkikJ57PgQHdqSYWt57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435</Words>
  <Characters>2486</Characters>
  <Application>Microsoft Office Word</Application>
  <DocSecurity>0</DocSecurity>
  <Lines>20</Lines>
  <Paragraphs>5</Paragraphs>
  <ScaleCrop>false</ScaleCrop>
  <Company>Win7w.Com</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Win7w</cp:lastModifiedBy>
  <cp:revision>1</cp:revision>
  <dcterms:created xsi:type="dcterms:W3CDTF">2018-10-30T01:17:00Z</dcterms:created>
  <dcterms:modified xsi:type="dcterms:W3CDTF">2018-10-30T01:43:00Z</dcterms:modified>
</cp:coreProperties>
</file>